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/>
          <w:color w:val="1F2A44"/>
        </w:rPr>
        <w:t>Annual ESAP Report — 2026</w:t>
      </w:r>
    </w:p>
    <w:p>
      <w:r>
        <w:rPr>
          <w:rFonts w:ascii="Arial" w:hAnsi="Arial"/>
          <w:i/>
          <w:color w:val="415073"/>
          <w:sz w:val="20"/>
        </w:rPr>
        <w:t>Stakeholder engagement &amp; grievance mechanism · IFC PS1 + GIIP aligned</w:t>
      </w:r>
    </w:p>
    <w:p>
      <w:r>
        <w:rPr>
          <w:rFonts w:ascii="Arial" w:hAnsi="Arial"/>
          <w:b w:val="0"/>
          <w:i/>
          <w:color w:val="415073"/>
          <w:sz w:val="16"/>
        </w:rPr>
        <w:t>Generated: 2026-05-26 13:52  ·  Sociable Systems engagement tracker  ·  sociable.systems</w:t>
      </w:r>
    </w:p>
    <w:p/>
    <w:p>
      <w:pPr>
        <w:pStyle w:val="Heading1"/>
      </w:pPr>
      <w:r>
        <w:rPr>
          <w:rFonts w:ascii="Arial" w:hAnsi="Arial"/>
          <w:color w:val="1F2A44"/>
        </w:rPr>
        <w:t>Year in review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Year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Grievances 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Engagements logged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12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Stakeholders registered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Currently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Resolved / 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12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Year narrative</w:t>
      </w:r>
    </w:p>
    <w:p>
      <w:r>
        <w:rPr>
          <w:rFonts w:ascii="Arial" w:hAnsi="Arial"/>
          <w:b w:val="0"/>
          <w:i w:val="0"/>
          <w:sz w:val="22"/>
        </w:rPr>
        <w:t>[AI-DRAFT, NEEDS PRACTITIONER REVIEW] In 2026, the project received 20 grievances through formal channels. The top categories were Workforce (4), Livelihoods (3), Environment (2). [Replace with practitioner narrative covering year-on-year trend, systemic-pattern identification, policy/protocol changes triggered, and outlook for the coming year.]</w:t>
      </w:r>
    </w:p>
    <w:p>
      <w:pPr>
        <w:pStyle w:val="Heading1"/>
      </w:pPr>
      <w:r>
        <w:rPr>
          <w:rFonts w:ascii="Arial" w:hAnsi="Arial"/>
          <w:color w:val="1F2A44"/>
        </w:rPr>
        <w:t>Top patterns to monitor</w:t>
      </w:r>
    </w:p>
    <w:p>
      <w:r>
        <w:rPr>
          <w:rFonts w:ascii="Arial" w:hAnsi="Arial"/>
          <w:b w:val="0"/>
          <w:i w:val="0"/>
          <w:sz w:val="22"/>
        </w:rPr>
        <w:t>• Workforce: 4 grievances. Review for systemic root cause.</w:t>
      </w:r>
    </w:p>
    <w:p>
      <w:r>
        <w:rPr>
          <w:rFonts w:ascii="Arial" w:hAnsi="Arial"/>
          <w:b w:val="0"/>
          <w:i w:val="0"/>
          <w:sz w:val="22"/>
        </w:rPr>
        <w:t>• Livelihoods: 3 grievances. Review for systemic root cause.</w:t>
      </w:r>
    </w:p>
    <w:p>
      <w:r>
        <w:rPr>
          <w:rFonts w:ascii="Arial" w:hAnsi="Arial"/>
          <w:b w:val="0"/>
          <w:i w:val="0"/>
          <w:sz w:val="22"/>
        </w:rPr>
        <w:t>• Environment: 2 grievances. Review for systemic root cause.</w:t>
      </w:r>
    </w:p>
    <w:p>
      <w:r>
        <w:rPr>
          <w:rFonts w:ascii="Arial" w:hAnsi="Arial"/>
          <w:b w:val="0"/>
          <w:i w:val="0"/>
          <w:sz w:val="22"/>
        </w:rPr>
        <w:t>• Cultural heritage: 2 grievances. Review for systemic root cause.</w:t>
      </w:r>
    </w:p>
    <w:p>
      <w:r>
        <w:rPr>
          <w:rFonts w:ascii="Arial" w:hAnsi="Arial"/>
          <w:b w:val="0"/>
          <w:i w:val="0"/>
          <w:sz w:val="22"/>
        </w:rPr>
        <w:t>• GBVH: 2 grievances. Review for systemic root cause.</w:t>
      </w:r>
    </w:p>
    <w:p>
      <w:pPr>
        <w:pStyle w:val="Heading1"/>
      </w:pPr>
      <w:r>
        <w:rPr>
          <w:rFonts w:ascii="Arial" w:hAnsi="Arial"/>
          <w:color w:val="1F2A44"/>
        </w:rPr>
        <w:t>Full year grievance log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ID</w:t>
            </w:r>
          </w:p>
        </w:tc>
        <w:tc>
          <w:tcPr>
            <w:tcW w:type="dxa" w:w="1234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Received</w:t>
            </w:r>
          </w:p>
        </w:tc>
        <w:tc>
          <w:tcPr>
            <w:tcW w:type="dxa" w:w="1234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234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Severity</w:t>
            </w:r>
          </w:p>
        </w:tc>
        <w:tc>
          <w:tcPr>
            <w:tcW w:type="dxa" w:w="1234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1234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Closed</w:t>
            </w:r>
          </w:p>
        </w:tc>
        <w:tc>
          <w:tcPr>
            <w:tcW w:type="dxa" w:w="1234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AI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G-001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2026-04-15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Livelihoods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2026-05-10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G-002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2026-05-18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Environment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G-003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2026-03-02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Cultural heritage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2026-04-20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G-004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2026-05-05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Workforce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2026-05-12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G-005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2026-05-22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Environment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G-006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2026-04-28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GBVH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G-007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2026-01-18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Livelihoods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Low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2026-02-05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G-008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2026-02-03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Workforce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2026-02-18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G-009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2026-02-15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Land &amp; resettlement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2026-03-28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G-010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2026-03-08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Livelihoods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2026-04-05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G-011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2026-03-22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Workforce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2026-04-30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G-012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2026-04-05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Local content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Low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2026-04-28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G-013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2026-04-10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Health &amp; safety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2026-04-30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G-014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2026-04-12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Health &amp; safety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G-015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2026-03-28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GBVH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Critical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Escalated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G-016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2026-05-02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Procedural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G-017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2026-01-08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Compensation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2026-01-28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G-018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2026-02-28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Cultural heritage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Resolved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2026-04-08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G-019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2026-05-15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Workforce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Low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Received</w:t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234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No</w:t>
            </w:r>
          </w:p>
        </w:tc>
      </w:tr>
      <w:tr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G-020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2026-03-01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In-migration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Medium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234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Yes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